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B25209"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B25209" w:rsidP="00B25209">
            <w:pPr>
              <w:rPr>
                <w:b/>
                <w:sz w:val="26"/>
                <w:szCs w:val="26"/>
                <w:lang w:val="ro-RO"/>
              </w:rPr>
            </w:pPr>
            <w:r>
              <w:rPr>
                <w:b/>
                <w:sz w:val="26"/>
                <w:szCs w:val="26"/>
                <w:lang w:val="ro-RO"/>
              </w:rPr>
              <w:t>01.01.2016-15.01.2016</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1051CA">
              <w:rPr>
                <w:b/>
                <w:sz w:val="22"/>
                <w:szCs w:val="22"/>
                <w:lang w:val="ro-RO"/>
              </w:rPr>
              <w:t>8.900.000</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C340DD">
              <w:rPr>
                <w:sz w:val="22"/>
                <w:szCs w:val="22"/>
                <w:lang w:val="ro-RO"/>
              </w:rPr>
              <w:t>: 48</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C340DD">
              <w:rPr>
                <w:b/>
                <w:sz w:val="22"/>
                <w:szCs w:val="22"/>
                <w:lang w:val="it-IT"/>
              </w:rPr>
              <w:t>221.393.205,80</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w:t>
            </w:r>
            <w:r w:rsidR="00FB0535">
              <w:rPr>
                <w:sz w:val="22"/>
                <w:szCs w:val="22"/>
                <w:lang w:val="ro-RO"/>
              </w:rPr>
              <w:t>/CP</w:t>
            </w:r>
            <w:r w:rsidRPr="002870C4">
              <w:rPr>
                <w:sz w:val="22"/>
                <w:szCs w:val="22"/>
                <w:lang w:val="ro-RO"/>
              </w:rPr>
              <w:t xml:space="preserve"> în curs de evaluare</w:t>
            </w:r>
            <w:r w:rsidR="0002044D" w:rsidRPr="002870C4">
              <w:rPr>
                <w:sz w:val="22"/>
                <w:szCs w:val="22"/>
                <w:lang w:val="ro-RO"/>
              </w:rPr>
              <w:t xml:space="preserve"> </w:t>
            </w:r>
            <w:r w:rsidR="00C340DD">
              <w:rPr>
                <w:sz w:val="22"/>
                <w:szCs w:val="22"/>
                <w:lang w:val="ro-RO"/>
              </w:rPr>
              <w:t>1</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FB0535">
              <w:rPr>
                <w:sz w:val="22"/>
                <w:szCs w:val="22"/>
                <w:lang w:val="ro-RO"/>
              </w:rPr>
              <w:t>15.01.2016</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1C72F6">
                    <w:rPr>
                      <w:b/>
                      <w:sz w:val="22"/>
                      <w:lang w:val="it-IT"/>
                    </w:rPr>
                    <w:t>1.</w:t>
                  </w:r>
                  <w:r w:rsidR="004567DF">
                    <w:rPr>
                      <w:b/>
                      <w:sz w:val="22"/>
                      <w:lang w:val="it-IT"/>
                    </w:rPr>
                    <w:t>979</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w:t>
                  </w:r>
                  <w:r w:rsidR="004567DF">
                    <w:rPr>
                      <w:b/>
                      <w:sz w:val="22"/>
                      <w:lang w:val="it-IT"/>
                    </w:rPr>
                    <w:t>763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A2111D">
                    <w:rPr>
                      <w:b/>
                      <w:sz w:val="22"/>
                      <w:lang w:val="it-IT"/>
                    </w:rPr>
                    <w:t>3</w:t>
                  </w:r>
                  <w:r w:rsidR="004D380A">
                    <w:rPr>
                      <w:b/>
                      <w:sz w:val="22"/>
                      <w:lang w:val="it-IT"/>
                    </w:rPr>
                    <w:t>3.</w:t>
                  </w:r>
                  <w:r w:rsidR="004567DF">
                    <w:rPr>
                      <w:b/>
                      <w:sz w:val="22"/>
                      <w:lang w:val="it-IT"/>
                    </w:rPr>
                    <w:t>435</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8F5E83">
                  <w:pPr>
                    <w:shd w:val="clear" w:color="auto" w:fill="FFFFFF"/>
                    <w:spacing w:after="0"/>
                    <w:ind w:right="-40"/>
                    <w:jc w:val="center"/>
                    <w:rPr>
                      <w:b/>
                      <w:sz w:val="22"/>
                      <w:lang w:val="it-IT"/>
                    </w:rPr>
                  </w:pPr>
                  <w:r>
                    <w:rPr>
                      <w:b/>
                      <w:sz w:val="22"/>
                      <w:lang w:val="it-IT"/>
                    </w:rPr>
                    <w:t>7</w:t>
                  </w:r>
                  <w:r w:rsidR="0051283F">
                    <w:rPr>
                      <w:b/>
                      <w:sz w:val="22"/>
                      <w:lang w:val="it-IT"/>
                    </w:rPr>
                    <w:t>,</w:t>
                  </w:r>
                  <w:r w:rsidR="004567DF">
                    <w:rPr>
                      <w:b/>
                      <w:sz w:val="22"/>
                      <w:lang w:val="it-IT"/>
                    </w:rPr>
                    <w:t>217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FB2998">
                  <w:pPr>
                    <w:shd w:val="clear" w:color="auto" w:fill="FFFFFF"/>
                    <w:spacing w:after="0"/>
                    <w:ind w:right="-40"/>
                    <w:jc w:val="center"/>
                    <w:rPr>
                      <w:b/>
                      <w:sz w:val="22"/>
                      <w:lang w:val="it-IT"/>
                    </w:rPr>
                  </w:pPr>
                  <w:r>
                    <w:rPr>
                      <w:b/>
                      <w:sz w:val="22"/>
                      <w:lang w:val="it-IT"/>
                    </w:rPr>
                    <w:t>2</w:t>
                  </w:r>
                  <w:r w:rsidR="001C72F6">
                    <w:rPr>
                      <w:b/>
                      <w:sz w:val="22"/>
                      <w:lang w:val="it-IT"/>
                    </w:rPr>
                    <w:t>6.</w:t>
                  </w:r>
                  <w:r w:rsidR="004D380A">
                    <w:rPr>
                      <w:b/>
                      <w:sz w:val="22"/>
                      <w:lang w:val="it-IT"/>
                    </w:rPr>
                    <w:t>417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1C72F6">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Pr="00AC0034" w:rsidRDefault="001A3A8B" w:rsidP="007706E9">
            <w:pPr>
              <w:spacing w:after="0"/>
              <w:jc w:val="center"/>
              <w:rPr>
                <w:rFonts w:ascii="Garamond" w:hAnsi="Garamond"/>
                <w:color w:val="000000"/>
                <w:sz w:val="16"/>
                <w:szCs w:val="16"/>
                <w:lang w:val="ro-RO"/>
              </w:rPr>
            </w:pPr>
            <w:r w:rsidRPr="00AC0034">
              <w:rPr>
                <w:rFonts w:ascii="Garamond" w:hAnsi="Garamond"/>
                <w:color w:val="000000"/>
                <w:sz w:val="16"/>
                <w:szCs w:val="16"/>
                <w:lang w:val="ro-RO"/>
              </w:rPr>
              <w:t>6.089.902,53</w:t>
            </w:r>
          </w:p>
          <w:p w:rsidR="007D73D8" w:rsidRPr="00AC0034" w:rsidRDefault="007D73D8" w:rsidP="007706E9">
            <w:pPr>
              <w:spacing w:after="0"/>
              <w:jc w:val="center"/>
              <w:rPr>
                <w:rFonts w:ascii="Garamond" w:hAnsi="Garamond"/>
                <w:i/>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22.662.745,03</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7C40E8"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22.209.490,13</w:t>
            </w:r>
            <w:r w:rsidR="00901C51">
              <w:rPr>
                <w:rFonts w:ascii="Garamond" w:hAnsi="Garamond" w:cs="Arial"/>
                <w:color w:val="000000"/>
                <w:sz w:val="16"/>
                <w:szCs w:val="16"/>
                <w:lang w:val="en-US" w:eastAsia="en-US"/>
              </w:rPr>
              <w:t>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7C40E8"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7.612.805,70</w:t>
            </w:r>
          </w:p>
          <w:p w:rsidR="007C40E8" w:rsidRDefault="007C40E8" w:rsidP="00643A6B">
            <w:pPr>
              <w:spacing w:after="0"/>
              <w:jc w:val="left"/>
              <w:rPr>
                <w:rFonts w:ascii="Garamond" w:hAnsi="Garamond" w:cs="Arial"/>
                <w:color w:val="000000"/>
                <w:sz w:val="16"/>
                <w:szCs w:val="16"/>
                <w:lang w:val="en-US" w:eastAsia="en-US"/>
              </w:rPr>
            </w:pPr>
          </w:p>
          <w:p w:rsidR="00EA423B" w:rsidRDefault="00EA423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Default="007C40E8"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7.460.549,59</w:t>
            </w:r>
          </w:p>
          <w:p w:rsidR="007C40E8" w:rsidRPr="00C066D1" w:rsidRDefault="007C40E8" w:rsidP="00FF74B2">
            <w:pPr>
              <w:spacing w:after="0"/>
              <w:jc w:val="left"/>
              <w:rPr>
                <w:rFonts w:ascii="Garamond" w:hAnsi="Garamond" w:cs="Arial"/>
                <w:color w:val="000000"/>
                <w:sz w:val="16"/>
                <w:szCs w:val="16"/>
                <w:lang w:val="en-US" w:eastAsia="en-US"/>
              </w:rPr>
            </w:pP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7C40E8"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9.432.224,60</w:t>
            </w:r>
          </w:p>
          <w:p w:rsidR="007C40E8" w:rsidRDefault="007C40E8" w:rsidP="007706E9">
            <w:pPr>
              <w:spacing w:after="0"/>
              <w:jc w:val="center"/>
              <w:rPr>
                <w:rFonts w:ascii="Garamond" w:hAnsi="Garamond" w:cs="Arial"/>
                <w:color w:val="000000"/>
                <w:sz w:val="16"/>
                <w:szCs w:val="16"/>
                <w:lang w:val="en-US" w:eastAsia="en-US"/>
              </w:rPr>
            </w:pP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4D380A" w:rsidP="00A726BA">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27</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51283F" w:rsidRPr="0051283F"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s-a obtinut AC nr. 14/19.05.2015 pentru orasul Sinaia. S-a obtinut AC pentru Busteni in data de 16.06.2015  Realizat extindere retele   </w:t>
            </w:r>
            <w:r w:rsidR="007D53B9">
              <w:rPr>
                <w:rFonts w:ascii="Arial" w:hAnsi="Arial" w:cs="Arial"/>
                <w:color w:val="000000"/>
                <w:sz w:val="18"/>
                <w:szCs w:val="18"/>
              </w:rPr>
              <w:t>7081</w:t>
            </w:r>
            <w:r w:rsidRPr="0051283F">
              <w:rPr>
                <w:rFonts w:ascii="Arial" w:hAnsi="Arial" w:cs="Arial"/>
                <w:color w:val="000000"/>
                <w:sz w:val="18"/>
                <w:szCs w:val="18"/>
              </w:rPr>
              <w:t xml:space="preserve"> m , reabi</w:t>
            </w:r>
            <w:r w:rsidR="007D53B9">
              <w:rPr>
                <w:rFonts w:ascii="Arial" w:hAnsi="Arial" w:cs="Arial"/>
                <w:color w:val="000000"/>
                <w:sz w:val="18"/>
                <w:szCs w:val="18"/>
              </w:rPr>
              <w:t>litare retea de canalizare 2211 m , conducte de refulare 610</w:t>
            </w:r>
            <w:r w:rsidRPr="0051283F">
              <w:rPr>
                <w:rFonts w:ascii="Arial" w:hAnsi="Arial" w:cs="Arial"/>
                <w:color w:val="000000"/>
                <w:sz w:val="18"/>
                <w:szCs w:val="18"/>
              </w:rPr>
              <w:t xml:space="preserve"> m s</w:t>
            </w:r>
            <w:r w:rsidR="007D53B9">
              <w:rPr>
                <w:rFonts w:ascii="Arial" w:hAnsi="Arial" w:cs="Arial"/>
                <w:color w:val="000000"/>
                <w:sz w:val="18"/>
                <w:szCs w:val="18"/>
              </w:rPr>
              <w:t>i 281</w:t>
            </w:r>
            <w:bookmarkStart w:id="0" w:name="_GoBack"/>
            <w:bookmarkEnd w:id="0"/>
            <w:r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7C40E8"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35.865.445,28</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7C40E8"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35.148.136,37</w:t>
            </w:r>
          </w:p>
          <w:p w:rsidR="007C40E8" w:rsidRDefault="007C40E8" w:rsidP="00975BFB">
            <w:pPr>
              <w:spacing w:after="0"/>
              <w:jc w:val="left"/>
              <w:rPr>
                <w:rFonts w:ascii="Garamond" w:hAnsi="Garamond" w:cs="Arial"/>
                <w:color w:val="000000"/>
                <w:sz w:val="16"/>
                <w:szCs w:val="16"/>
                <w:lang w:val="en-US" w:eastAsia="en-US"/>
              </w:rPr>
            </w:pPr>
          </w:p>
          <w:p w:rsidR="008854D1" w:rsidRDefault="008854D1" w:rsidP="00975BFB">
            <w:pPr>
              <w:spacing w:after="0"/>
              <w:jc w:val="left"/>
              <w:rPr>
                <w:rFonts w:ascii="Garamond" w:hAnsi="Garamond" w:cs="Arial"/>
                <w:color w:val="000000"/>
                <w:sz w:val="16"/>
                <w:szCs w:val="16"/>
                <w:lang w:val="en-US" w:eastAsia="en-US"/>
              </w:rPr>
            </w:pPr>
          </w:p>
          <w:p w:rsidR="00AC0034" w:rsidRDefault="00AC0034" w:rsidP="00975BFB">
            <w:pPr>
              <w:spacing w:after="0"/>
              <w:jc w:val="left"/>
              <w:rPr>
                <w:rFonts w:ascii="Garamond" w:hAnsi="Garamond" w:cs="Arial"/>
                <w:color w:val="000000"/>
                <w:sz w:val="16"/>
                <w:szCs w:val="16"/>
                <w:lang w:val="en-US" w:eastAsia="en-US"/>
              </w:rPr>
            </w:pP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9B4E05"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95</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a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w:t>
            </w:r>
            <w:r w:rsidR="00C43A57">
              <w:rPr>
                <w:rFonts w:ascii="Arial" w:hAnsi="Arial" w:cs="Arial"/>
                <w:sz w:val="18"/>
                <w:szCs w:val="18"/>
              </w:rPr>
              <w:t>perea lucrarilor</w:t>
            </w:r>
            <w:r w:rsidR="00C43A57">
              <w:rPr>
                <w:rFonts w:ascii="Arial" w:hAnsi="Arial" w:cs="Arial"/>
                <w:sz w:val="18"/>
                <w:szCs w:val="18"/>
              </w:rPr>
              <w:br/>
              <w:t>Realizat 21.979</w:t>
            </w:r>
            <w:r w:rsidRPr="0051283F">
              <w:rPr>
                <w:rFonts w:ascii="Arial" w:hAnsi="Arial" w:cs="Arial"/>
                <w:sz w:val="18"/>
                <w:szCs w:val="18"/>
              </w:rPr>
              <w:t xml:space="preserve"> m aductiune din 24829 m</w:t>
            </w:r>
            <w:r w:rsidRPr="0051283F">
              <w:rPr>
                <w:rFonts w:ascii="Arial" w:hAnsi="Arial" w:cs="Arial"/>
                <w:sz w:val="18"/>
                <w:szCs w:val="18"/>
              </w:rPr>
              <w:br/>
              <w:t>real</w:t>
            </w:r>
            <w:r w:rsidR="00C43A57">
              <w:rPr>
                <w:rFonts w:ascii="Arial" w:hAnsi="Arial" w:cs="Arial"/>
                <w:sz w:val="18"/>
                <w:szCs w:val="18"/>
              </w:rPr>
              <w:t>izat 37.763</w:t>
            </w:r>
            <w:r w:rsidR="00E36AF6">
              <w:rPr>
                <w:rFonts w:ascii="Arial" w:hAnsi="Arial" w:cs="Arial"/>
                <w:sz w:val="18"/>
                <w:szCs w:val="18"/>
              </w:rPr>
              <w:t xml:space="preserve">  m retea distributie</w:t>
            </w:r>
            <w:r w:rsidRPr="0051283F">
              <w:rPr>
                <w:rFonts w:ascii="Arial" w:hAnsi="Arial" w:cs="Arial"/>
                <w:sz w:val="18"/>
                <w:szCs w:val="18"/>
              </w:rPr>
              <w:t xml:space="preserve"> din 38.304 m, statii de pompare Breaza si  Comarni</w:t>
            </w:r>
            <w:r w:rsidR="00C43A57">
              <w:rPr>
                <w:rFonts w:ascii="Arial" w:hAnsi="Arial" w:cs="Arial"/>
                <w:sz w:val="18"/>
                <w:szCs w:val="18"/>
              </w:rPr>
              <w:t>c -14  buc  si 1348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7C40E8" w:rsidP="008854D1">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19.807.287,06</w:t>
            </w:r>
          </w:p>
        </w:tc>
        <w:tc>
          <w:tcPr>
            <w:tcW w:w="1201" w:type="dxa"/>
            <w:vAlign w:val="center"/>
          </w:tcPr>
          <w:p w:rsidR="004179AF" w:rsidRPr="002B3814" w:rsidRDefault="007C40E8"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19.411.141,32</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w:t>
            </w:r>
            <w:r w:rsidR="00115713">
              <w:rPr>
                <w:rFonts w:ascii="Arial" w:hAnsi="Arial" w:cs="Arial"/>
                <w:sz w:val="18"/>
                <w:szCs w:val="18"/>
              </w:rPr>
              <w:t>7.2012</w:t>
            </w:r>
            <w:r w:rsidR="00115713">
              <w:rPr>
                <w:rFonts w:ascii="Arial" w:hAnsi="Arial" w:cs="Arial"/>
                <w:sz w:val="18"/>
                <w:szCs w:val="18"/>
              </w:rPr>
              <w:br/>
              <w:t>conducta instalata: 50975</w:t>
            </w:r>
            <w:r w:rsidRPr="0051283F">
              <w:rPr>
                <w:rFonts w:ascii="Arial" w:hAnsi="Arial" w:cs="Arial"/>
                <w:sz w:val="18"/>
                <w:szCs w:val="18"/>
              </w:rPr>
              <w:t xml:space="preserve"> m din 59976 m,</w:t>
            </w:r>
            <w:r w:rsidRPr="0051283F">
              <w:rPr>
                <w:rFonts w:ascii="Arial" w:hAnsi="Arial" w:cs="Arial"/>
                <w:sz w:val="18"/>
                <w:szCs w:val="18"/>
              </w:rPr>
              <w:br/>
              <w:t xml:space="preserve">    - camine executate: 1919 buc. din 2247 buc., </w:t>
            </w:r>
            <w:r w:rsidRPr="0051283F">
              <w:rPr>
                <w:rFonts w:ascii="Arial" w:hAnsi="Arial" w:cs="Arial"/>
                <w:sz w:val="18"/>
                <w:szCs w:val="18"/>
              </w:rPr>
              <w:br/>
            </w:r>
            <w:r w:rsidR="00115713">
              <w:rPr>
                <w:rFonts w:ascii="Arial" w:hAnsi="Arial" w:cs="Arial"/>
                <w:sz w:val="18"/>
                <w:szCs w:val="18"/>
              </w:rPr>
              <w:t xml:space="preserve">  - racorduri executate: 1988</w:t>
            </w:r>
            <w:r w:rsidRPr="0051283F">
              <w:rPr>
                <w:rFonts w:ascii="Arial" w:hAnsi="Arial" w:cs="Arial"/>
                <w:sz w:val="18"/>
                <w:szCs w:val="18"/>
              </w:rPr>
              <w:t xml:space="preserve"> buc. din 2898 buc. </w:t>
            </w:r>
            <w:r w:rsidRPr="0051283F">
              <w:rPr>
                <w:rFonts w:ascii="Arial" w:hAnsi="Arial" w:cs="Arial"/>
                <w:sz w:val="18"/>
                <w:szCs w:val="18"/>
              </w:rPr>
              <w:br/>
              <w:t>Statii p</w:t>
            </w:r>
            <w:r w:rsidR="00F943C9">
              <w:rPr>
                <w:rFonts w:ascii="Arial" w:hAnsi="Arial" w:cs="Arial"/>
                <w:sz w:val="18"/>
                <w:szCs w:val="18"/>
              </w:rPr>
              <w:t>ompare 23 buc din 30 buc si 4840</w:t>
            </w:r>
            <w:r w:rsidRPr="0051283F">
              <w:rPr>
                <w:rFonts w:ascii="Arial" w:hAnsi="Arial" w:cs="Arial"/>
                <w:sz w:val="18"/>
                <w:szCs w:val="18"/>
              </w:rPr>
              <w:t xml:space="preserve">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CL-7</w:t>
            </w:r>
            <w:r w:rsidRPr="003B698E">
              <w:rPr>
                <w:rFonts w:ascii="Tahoma" w:hAnsi="Tahoma"/>
                <w:sz w:val="17"/>
                <w:szCs w:val="17"/>
                <w:lang w:eastAsia="en-GB"/>
              </w:rPr>
              <w:t xml:space="preserve"> ”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5E536F" w:rsidRPr="003B698E" w:rsidRDefault="007C40E8" w:rsidP="008854D1">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50.250.976,93</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7C40E8"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49.245.957,39</w:t>
            </w:r>
          </w:p>
          <w:p w:rsidR="007C40E8" w:rsidRDefault="007C40E8" w:rsidP="00FF74B2">
            <w:pPr>
              <w:spacing w:after="0"/>
              <w:jc w:val="center"/>
              <w:rPr>
                <w:rFonts w:ascii="Garamond" w:hAnsi="Garamond" w:cs="Arial"/>
                <w:color w:val="000000"/>
                <w:sz w:val="16"/>
                <w:szCs w:val="16"/>
                <w:lang w:val="en-US" w:eastAsia="en-US"/>
              </w:rPr>
            </w:pPr>
          </w:p>
          <w:p w:rsidR="00AC0034" w:rsidRDefault="00AC0034"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9B4E05"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70</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Reprezentant Contractor: 29.10.2013/aprobat: 1038/ 11.11.2013 :.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091588">
              <w:rPr>
                <w:rFonts w:ascii="Arial" w:hAnsi="Arial" w:cs="Arial"/>
                <w:sz w:val="18"/>
                <w:szCs w:val="18"/>
              </w:rPr>
              <w:t>t</w:t>
            </w:r>
            <w:r w:rsidR="00481460">
              <w:rPr>
                <w:rFonts w:ascii="Arial" w:hAnsi="Arial" w:cs="Arial"/>
                <w:sz w:val="18"/>
                <w:szCs w:val="18"/>
              </w:rPr>
              <w:t>ie obtinuta</w:t>
            </w:r>
            <w:r w:rsidR="00481460">
              <w:rPr>
                <w:rFonts w:ascii="Arial" w:hAnsi="Arial" w:cs="Arial"/>
                <w:sz w:val="18"/>
                <w:szCs w:val="18"/>
              </w:rPr>
              <w:br/>
              <w:t>S-au realizat 55.400</w:t>
            </w:r>
            <w:r w:rsidRPr="0051283F">
              <w:rPr>
                <w:rFonts w:ascii="Arial" w:hAnsi="Arial" w:cs="Arial"/>
                <w:sz w:val="18"/>
                <w:szCs w:val="18"/>
              </w:rPr>
              <w:t xml:space="preserve">  m retea din 75.052 m, conducte de refulare</w:t>
            </w:r>
            <w:r>
              <w:rPr>
                <w:rFonts w:ascii="Arial" w:hAnsi="Arial" w:cs="Arial"/>
                <w:sz w:val="22"/>
                <w:szCs w:val="22"/>
              </w:rPr>
              <w:t xml:space="preserve"> </w:t>
            </w:r>
            <w:r w:rsidR="00481460">
              <w:rPr>
                <w:rFonts w:ascii="Arial" w:hAnsi="Arial" w:cs="Arial"/>
                <w:sz w:val="18"/>
                <w:szCs w:val="18"/>
              </w:rPr>
              <w:t xml:space="preserve">8.700 m  </w:t>
            </w:r>
            <w:r w:rsidR="00481460">
              <w:rPr>
                <w:rFonts w:ascii="Arial" w:hAnsi="Arial" w:cs="Arial"/>
                <w:sz w:val="18"/>
                <w:szCs w:val="18"/>
              </w:rPr>
              <w:br/>
              <w:t>S-au realizat 1873</w:t>
            </w:r>
            <w:r w:rsidR="00091588">
              <w:rPr>
                <w:rFonts w:ascii="Arial" w:hAnsi="Arial" w:cs="Arial"/>
                <w:sz w:val="18"/>
                <w:szCs w:val="18"/>
              </w:rPr>
              <w:t xml:space="preserve"> camine si 3206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8854D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9.086.162,14</w:t>
            </w:r>
          </w:p>
        </w:tc>
        <w:tc>
          <w:tcPr>
            <w:tcW w:w="1201" w:type="dxa"/>
            <w:vAlign w:val="center"/>
          </w:tcPr>
          <w:p w:rsidR="004179AF" w:rsidRPr="0005576A" w:rsidRDefault="009A1B2F" w:rsidP="00FD54D3">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8.704.438,76</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13425F">
              <w:rPr>
                <w:rFonts w:ascii="Arial" w:hAnsi="Arial" w:cs="Arial"/>
                <w:sz w:val="18"/>
                <w:szCs w:val="18"/>
              </w:rPr>
              <w:t>Racorduri - 4031</w:t>
            </w:r>
            <w:r w:rsidR="00A171CE">
              <w:rPr>
                <w:rFonts w:ascii="Arial" w:hAnsi="Arial" w:cs="Arial"/>
                <w:sz w:val="18"/>
                <w:szCs w:val="18"/>
              </w:rPr>
              <w:t xml:space="preserve">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7C40E8" w:rsidP="00F12558">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54.663.861,81</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7C40E8"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53.570.584,57</w:t>
            </w:r>
          </w:p>
          <w:p w:rsidR="00AC0034" w:rsidRDefault="00AC0034"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S-a emis Ordinul Administrativ nr 19/11.11.2013 de incepere a lucrarilor in data de 11.11.2013. Executat – retele(extindere)  total  69.742 m din 70.663  m , retele(reabilitare) total 4.806 m din total 5</w:t>
            </w:r>
            <w:r w:rsidR="00B01C21">
              <w:rPr>
                <w:rFonts w:ascii="Arial" w:hAnsi="Arial" w:cs="Arial"/>
                <w:sz w:val="18"/>
                <w:szCs w:val="18"/>
              </w:rPr>
              <w:t>.813m,; cond refulare total  8.2</w:t>
            </w:r>
            <w:r w:rsidRPr="00FB03FF">
              <w:rPr>
                <w:rFonts w:ascii="Arial" w:hAnsi="Arial" w:cs="Arial"/>
                <w:sz w:val="18"/>
                <w:szCs w:val="18"/>
              </w:rPr>
              <w:t>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21.942.390,00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C40E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21.503.542,20</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7C40E8"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1.881.566,12</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7C40E8" w:rsidP="00A70FDB">
            <w:pPr>
              <w:spacing w:after="0"/>
              <w:jc w:val="center"/>
              <w:rPr>
                <w:rFonts w:ascii="Garamond" w:hAnsi="Garamond"/>
                <w:sz w:val="16"/>
                <w:szCs w:val="16"/>
                <w:lang w:eastAsia="en-US"/>
              </w:rPr>
            </w:pPr>
            <w:r>
              <w:rPr>
                <w:rFonts w:ascii="Garamond" w:hAnsi="Garamond"/>
                <w:sz w:val="16"/>
                <w:szCs w:val="16"/>
                <w:lang w:eastAsia="en-US"/>
              </w:rPr>
              <w:t>2.459.503,23</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7C40E8" w:rsidP="00A70FDB">
            <w:pPr>
              <w:spacing w:after="0"/>
              <w:jc w:val="center"/>
              <w:rPr>
                <w:rFonts w:ascii="Garamond" w:hAnsi="Garamond"/>
                <w:sz w:val="16"/>
                <w:szCs w:val="16"/>
                <w:lang w:val="ro-RO"/>
              </w:rPr>
            </w:pPr>
            <w:r>
              <w:rPr>
                <w:rFonts w:ascii="Garamond" w:hAnsi="Garamond"/>
                <w:sz w:val="16"/>
                <w:szCs w:val="16"/>
                <w:lang w:val="ro-RO"/>
              </w:rPr>
              <w:t>2.399.013,43</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7C40E8" w:rsidP="008113FF">
            <w:pPr>
              <w:spacing w:after="0"/>
              <w:ind w:right="-54" w:hanging="108"/>
              <w:jc w:val="center"/>
              <w:rPr>
                <w:rFonts w:ascii="Garamond" w:hAnsi="Garamond"/>
                <w:b/>
                <w:sz w:val="18"/>
                <w:szCs w:val="18"/>
                <w:lang w:val="ro-RO"/>
              </w:rPr>
            </w:pPr>
            <w:r>
              <w:rPr>
                <w:rFonts w:ascii="Garamond" w:hAnsi="Garamond"/>
                <w:b/>
                <w:sz w:val="18"/>
                <w:szCs w:val="18"/>
                <w:lang w:val="ro-RO"/>
              </w:rPr>
              <w:t>254.335.232,26</w:t>
            </w:r>
          </w:p>
        </w:tc>
        <w:tc>
          <w:tcPr>
            <w:tcW w:w="1201" w:type="dxa"/>
            <w:vAlign w:val="center"/>
          </w:tcPr>
          <w:p w:rsidR="004179AF" w:rsidRPr="002A5592" w:rsidRDefault="007C40E8" w:rsidP="00FD54D3">
            <w:pPr>
              <w:spacing w:after="0"/>
              <w:ind w:right="-90" w:hanging="72"/>
              <w:jc w:val="center"/>
              <w:rPr>
                <w:rFonts w:ascii="Garamond" w:hAnsi="Garamond"/>
                <w:sz w:val="18"/>
                <w:szCs w:val="18"/>
                <w:lang w:val="ro-RO"/>
              </w:rPr>
            </w:pPr>
            <w:r>
              <w:rPr>
                <w:rFonts w:ascii="Garamond" w:hAnsi="Garamond"/>
                <w:b/>
                <w:sz w:val="18"/>
                <w:szCs w:val="18"/>
                <w:lang w:val="ro-RO"/>
              </w:rPr>
              <w:t>237.142.246,37</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Default="004179AF" w:rsidP="007706E9">
            <w:pPr>
              <w:spacing w:after="0"/>
              <w:rPr>
                <w:rFonts w:ascii="Garamond" w:hAnsi="Garamond"/>
                <w:sz w:val="16"/>
                <w:szCs w:val="16"/>
                <w:lang w:val="ro-RO"/>
              </w:rPr>
            </w:pPr>
          </w:p>
          <w:p w:rsidR="00DF1A1D" w:rsidRDefault="00DF1A1D" w:rsidP="007706E9">
            <w:pPr>
              <w:spacing w:after="0"/>
              <w:rPr>
                <w:rFonts w:ascii="Garamond" w:hAnsi="Garamond"/>
                <w:sz w:val="16"/>
                <w:szCs w:val="16"/>
                <w:lang w:val="ro-RO"/>
              </w:rPr>
            </w:pPr>
          </w:p>
          <w:p w:rsidR="00DF1A1D" w:rsidRPr="007706E9" w:rsidRDefault="00DF1A1D"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B25209" w:rsidP="00F83748">
      <w:pPr>
        <w:spacing w:after="0"/>
        <w:rPr>
          <w:sz w:val="16"/>
          <w:szCs w:val="16"/>
          <w:lang w:val="ro-RO"/>
        </w:rPr>
      </w:pPr>
      <w:r>
        <w:rPr>
          <w:sz w:val="16"/>
          <w:szCs w:val="16"/>
          <w:lang w:val="ro-RO"/>
        </w:rPr>
        <w:t>15.01.2016</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D6C" w:rsidRDefault="008D1D6C">
      <w:r>
        <w:separator/>
      </w:r>
    </w:p>
  </w:endnote>
  <w:endnote w:type="continuationSeparator" w:id="0">
    <w:p w:rsidR="008D1D6C" w:rsidRDefault="008D1D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D6C" w:rsidRDefault="00154FCD">
    <w:pPr>
      <w:pStyle w:val="Footer"/>
      <w:jc w:val="center"/>
    </w:pPr>
    <w:r>
      <w:rPr>
        <w:rStyle w:val="PageNumber"/>
      </w:rPr>
      <w:fldChar w:fldCharType="begin"/>
    </w:r>
    <w:r w:rsidR="008D1D6C">
      <w:rPr>
        <w:rStyle w:val="PageNumber"/>
      </w:rPr>
      <w:instrText xml:space="preserve"> PAGE </w:instrText>
    </w:r>
    <w:r>
      <w:rPr>
        <w:rStyle w:val="PageNumber"/>
      </w:rPr>
      <w:fldChar w:fldCharType="separate"/>
    </w:r>
    <w:r w:rsidR="00B25209">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D6C" w:rsidRDefault="00154FCD">
    <w:pPr>
      <w:pStyle w:val="Footer"/>
      <w:jc w:val="center"/>
    </w:pPr>
    <w:r>
      <w:rPr>
        <w:rStyle w:val="PageNumber"/>
      </w:rPr>
      <w:fldChar w:fldCharType="begin"/>
    </w:r>
    <w:r w:rsidR="008D1D6C">
      <w:rPr>
        <w:rStyle w:val="PageNumber"/>
      </w:rPr>
      <w:instrText xml:space="preserve"> PAGE </w:instrText>
    </w:r>
    <w:r>
      <w:rPr>
        <w:rStyle w:val="PageNumber"/>
      </w:rPr>
      <w:fldChar w:fldCharType="separate"/>
    </w:r>
    <w:r w:rsidR="00B25209">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D6C" w:rsidRDefault="008D1D6C">
      <w:r>
        <w:separator/>
      </w:r>
    </w:p>
  </w:footnote>
  <w:footnote w:type="continuationSeparator" w:id="0">
    <w:p w:rsidR="008D1D6C" w:rsidRDefault="008D1D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588"/>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16C4"/>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1CA"/>
    <w:rsid w:val="0010551B"/>
    <w:rsid w:val="00105C08"/>
    <w:rsid w:val="001063B8"/>
    <w:rsid w:val="00106C2E"/>
    <w:rsid w:val="001074FE"/>
    <w:rsid w:val="00111A9F"/>
    <w:rsid w:val="00111AA8"/>
    <w:rsid w:val="00111C46"/>
    <w:rsid w:val="00113396"/>
    <w:rsid w:val="0011366A"/>
    <w:rsid w:val="00113A2F"/>
    <w:rsid w:val="001144B2"/>
    <w:rsid w:val="001149EF"/>
    <w:rsid w:val="00115713"/>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25F"/>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4FC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7BD"/>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0EB"/>
    <w:rsid w:val="002F0329"/>
    <w:rsid w:val="002F0B19"/>
    <w:rsid w:val="002F0D46"/>
    <w:rsid w:val="002F1026"/>
    <w:rsid w:val="002F149E"/>
    <w:rsid w:val="002F14CA"/>
    <w:rsid w:val="002F1A22"/>
    <w:rsid w:val="002F2043"/>
    <w:rsid w:val="002F2494"/>
    <w:rsid w:val="002F28C8"/>
    <w:rsid w:val="002F41D9"/>
    <w:rsid w:val="002F4328"/>
    <w:rsid w:val="002F43CC"/>
    <w:rsid w:val="002F4A9D"/>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567DF"/>
    <w:rsid w:val="004608B7"/>
    <w:rsid w:val="004616DD"/>
    <w:rsid w:val="004618BE"/>
    <w:rsid w:val="00461F8C"/>
    <w:rsid w:val="004623EF"/>
    <w:rsid w:val="0046252C"/>
    <w:rsid w:val="0046538B"/>
    <w:rsid w:val="004657F2"/>
    <w:rsid w:val="0046689A"/>
    <w:rsid w:val="00467474"/>
    <w:rsid w:val="00467AA5"/>
    <w:rsid w:val="004706F8"/>
    <w:rsid w:val="00470DF5"/>
    <w:rsid w:val="00472E8E"/>
    <w:rsid w:val="00472F9F"/>
    <w:rsid w:val="0047446F"/>
    <w:rsid w:val="00474AFD"/>
    <w:rsid w:val="00474C61"/>
    <w:rsid w:val="00474D4A"/>
    <w:rsid w:val="00475011"/>
    <w:rsid w:val="00480234"/>
    <w:rsid w:val="00480A1B"/>
    <w:rsid w:val="004811EE"/>
    <w:rsid w:val="00481460"/>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380A"/>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1891"/>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212"/>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CC9"/>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6D03"/>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40E8"/>
    <w:rsid w:val="007C54E7"/>
    <w:rsid w:val="007C72FB"/>
    <w:rsid w:val="007C7837"/>
    <w:rsid w:val="007D01A6"/>
    <w:rsid w:val="007D0DD8"/>
    <w:rsid w:val="007D14E5"/>
    <w:rsid w:val="007D2480"/>
    <w:rsid w:val="007D271E"/>
    <w:rsid w:val="007D30C5"/>
    <w:rsid w:val="007D3331"/>
    <w:rsid w:val="007D408C"/>
    <w:rsid w:val="007D4B1C"/>
    <w:rsid w:val="007D53B9"/>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3FF"/>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4D1"/>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1D6C"/>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4E05"/>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6CE5"/>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034"/>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1C2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209"/>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1AC4"/>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0C7C"/>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0DD"/>
    <w:rsid w:val="00C34E5E"/>
    <w:rsid w:val="00C36402"/>
    <w:rsid w:val="00C36EAA"/>
    <w:rsid w:val="00C36FCC"/>
    <w:rsid w:val="00C40003"/>
    <w:rsid w:val="00C40F29"/>
    <w:rsid w:val="00C41D5C"/>
    <w:rsid w:val="00C42BEC"/>
    <w:rsid w:val="00C438FB"/>
    <w:rsid w:val="00C43A57"/>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2F4"/>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0D62"/>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51D"/>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1A1D"/>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423B"/>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373E"/>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1913"/>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558"/>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04C7"/>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3C9"/>
    <w:rsid w:val="00F94714"/>
    <w:rsid w:val="00F94D18"/>
    <w:rsid w:val="00F94D8D"/>
    <w:rsid w:val="00F94E6A"/>
    <w:rsid w:val="00F94FAD"/>
    <w:rsid w:val="00F9574B"/>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535"/>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4D3"/>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6FB7"/>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75021109">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2EF6-1FFA-443D-A8FC-A9E7878E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17</Pages>
  <Words>3461</Words>
  <Characters>21068</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14</cp:revision>
  <cp:lastPrinted>2015-11-06T09:46:00Z</cp:lastPrinted>
  <dcterms:created xsi:type="dcterms:W3CDTF">2015-12-18T07:17:00Z</dcterms:created>
  <dcterms:modified xsi:type="dcterms:W3CDTF">2016-01-15T11:45:00Z</dcterms:modified>
</cp:coreProperties>
</file>